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42" w:rsidRDefault="00F41242" w:rsidP="003B0C51">
      <w:pPr>
        <w:jc w:val="center"/>
        <w:rPr>
          <w:noProof/>
          <w:lang w:eastAsia="da-DK"/>
        </w:rPr>
      </w:pPr>
    </w:p>
    <w:p w:rsidR="00F25D32" w:rsidRPr="00F25D32" w:rsidRDefault="00F25D32" w:rsidP="00F25D32">
      <w:pPr>
        <w:spacing w:after="0"/>
        <w:jc w:val="center"/>
        <w:rPr>
          <w:b/>
          <w:noProof/>
          <w:sz w:val="28"/>
          <w:lang w:eastAsia="da-DK"/>
        </w:rPr>
      </w:pPr>
      <w:r w:rsidRPr="00F25D32">
        <w:rPr>
          <w:b/>
          <w:noProof/>
          <w:sz w:val="28"/>
          <w:lang w:eastAsia="da-DK"/>
        </w:rPr>
        <w:t>GRIBSHOLT’S FERNANDO VANDREPRÆMIE</w:t>
      </w:r>
    </w:p>
    <w:p w:rsidR="00F25D32" w:rsidRDefault="00F25D32" w:rsidP="003B0C51">
      <w:pPr>
        <w:jc w:val="center"/>
        <w:rPr>
          <w:noProof/>
          <w:lang w:eastAsia="da-DK"/>
        </w:rPr>
      </w:pPr>
    </w:p>
    <w:p w:rsidR="00F25D32" w:rsidRDefault="00F25D32" w:rsidP="003B0C51">
      <w:pPr>
        <w:jc w:val="center"/>
        <w:rPr>
          <w:noProof/>
          <w:lang w:eastAsia="da-DK"/>
        </w:rPr>
      </w:pPr>
      <w:r>
        <w:rPr>
          <w:noProof/>
          <w:lang w:eastAsia="da-DK"/>
        </w:rPr>
        <w:drawing>
          <wp:inline distT="0" distB="0" distL="0" distR="0" wp14:anchorId="0FC1650E" wp14:editId="094E880E">
            <wp:extent cx="490537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05375" cy="3295650"/>
                    </a:xfrm>
                    <a:prstGeom prst="rect">
                      <a:avLst/>
                    </a:prstGeom>
                  </pic:spPr>
                </pic:pic>
              </a:graphicData>
            </a:graphic>
          </wp:inline>
        </w:drawing>
      </w:r>
    </w:p>
    <w:p w:rsidR="00F25D32" w:rsidRDefault="00F25D32" w:rsidP="003B0C51">
      <w:pPr>
        <w:jc w:val="center"/>
        <w:rPr>
          <w:noProof/>
          <w:lang w:eastAsia="da-DK"/>
        </w:rPr>
      </w:pPr>
    </w:p>
    <w:p w:rsidR="00F25D32" w:rsidRDefault="00F25D32" w:rsidP="003B0C51">
      <w:pPr>
        <w:jc w:val="center"/>
      </w:pPr>
      <w:r>
        <w:rPr>
          <w:noProof/>
          <w:lang w:eastAsia="da-DK"/>
        </w:rPr>
        <w:drawing>
          <wp:inline distT="0" distB="0" distL="0" distR="0" wp14:anchorId="73F79792" wp14:editId="7C7EB99E">
            <wp:extent cx="3653389" cy="3305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4158" cy="3305871"/>
                    </a:xfrm>
                    <a:prstGeom prst="rect">
                      <a:avLst/>
                    </a:prstGeom>
                  </pic:spPr>
                </pic:pic>
              </a:graphicData>
            </a:graphic>
          </wp:inline>
        </w:drawing>
      </w:r>
    </w:p>
    <w:p w:rsidR="003B0C51" w:rsidRDefault="003B0C51" w:rsidP="003B0C51">
      <w:pPr>
        <w:jc w:val="center"/>
      </w:pPr>
    </w:p>
    <w:p w:rsidR="003B0C51" w:rsidRPr="003B0C51" w:rsidRDefault="003B0C51" w:rsidP="003B0C51">
      <w:pPr>
        <w:spacing w:after="0"/>
        <w:rPr>
          <w:rFonts w:ascii="Times New Roman" w:eastAsia="Times New Roman" w:hAnsi="Times New Roman" w:cs="Times New Roman"/>
          <w:color w:val="192228"/>
          <w:szCs w:val="24"/>
          <w:lang w:eastAsia="da-DK"/>
        </w:rPr>
      </w:pPr>
      <w:r w:rsidRPr="003B0C51">
        <w:rPr>
          <w:rFonts w:ascii="Times New Roman" w:eastAsia="Times New Roman" w:hAnsi="Times New Roman" w:cs="Times New Roman"/>
          <w:color w:val="000000"/>
          <w:szCs w:val="24"/>
          <w:lang w:eastAsia="da-DK"/>
        </w:rPr>
        <w:lastRenderedPageBreak/>
        <w:t>Vandrepræmien er skænket af Sonja Larsø og Frede Jensen og udsættes på DGK Vestsjællands vildtsporprøve om foråret og tildeles</w:t>
      </w:r>
    </w:p>
    <w:p w:rsidR="003B0C51" w:rsidRPr="003B0C51" w:rsidRDefault="003B0C51" w:rsidP="003B0C51">
      <w:pPr>
        <w:spacing w:after="0"/>
        <w:rPr>
          <w:rFonts w:ascii="Times New Roman" w:eastAsia="Times New Roman" w:hAnsi="Times New Roman" w:cs="Times New Roman"/>
          <w:color w:val="192228"/>
          <w:szCs w:val="24"/>
          <w:lang w:eastAsia="da-DK"/>
        </w:rPr>
      </w:pPr>
      <w:r w:rsidRPr="003B0C51">
        <w:rPr>
          <w:rFonts w:ascii="Times New Roman" w:eastAsia="Times New Roman" w:hAnsi="Times New Roman" w:cs="Times New Roman"/>
          <w:color w:val="192228"/>
          <w:szCs w:val="24"/>
          <w:lang w:eastAsia="da-DK"/>
        </w:rPr>
        <w:t> </w:t>
      </w:r>
    </w:p>
    <w:p w:rsidR="003B0C51" w:rsidRPr="003B0C51" w:rsidRDefault="003B0C51" w:rsidP="00DE0FB0">
      <w:pPr>
        <w:spacing w:after="0"/>
        <w:jc w:val="center"/>
        <w:rPr>
          <w:rFonts w:ascii="Times New Roman" w:eastAsia="Times New Roman" w:hAnsi="Times New Roman" w:cs="Times New Roman"/>
          <w:color w:val="000000"/>
          <w:szCs w:val="24"/>
          <w:lang w:eastAsia="da-DK"/>
        </w:rPr>
      </w:pPr>
      <w:r w:rsidRPr="003B0C51">
        <w:rPr>
          <w:rFonts w:ascii="Times New Roman" w:eastAsia="Times New Roman" w:hAnsi="Times New Roman" w:cs="Times New Roman"/>
          <w:color w:val="000000"/>
          <w:szCs w:val="24"/>
          <w:lang w:eastAsia="da-DK"/>
        </w:rPr>
        <w:t>Prøvens bedste hund med 1. præmie på 40 timer/1000 meter.</w:t>
      </w:r>
    </w:p>
    <w:p w:rsidR="003B0C51" w:rsidRPr="003B0C51" w:rsidRDefault="003B0C51" w:rsidP="003B0C51">
      <w:pPr>
        <w:spacing w:after="0"/>
        <w:rPr>
          <w:rFonts w:ascii="Times New Roman" w:eastAsia="Times New Roman" w:hAnsi="Times New Roman" w:cs="Times New Roman"/>
          <w:color w:val="000000"/>
          <w:szCs w:val="24"/>
          <w:lang w:eastAsia="da-DK"/>
        </w:rPr>
      </w:pPr>
    </w:p>
    <w:p w:rsidR="00F762C8" w:rsidRPr="00F762C8" w:rsidRDefault="003B0C51" w:rsidP="00F762C8">
      <w:pPr>
        <w:spacing w:after="0"/>
        <w:rPr>
          <w:rFonts w:ascii="Times New Roman" w:eastAsia="Times New Roman" w:hAnsi="Times New Roman" w:cs="Times New Roman"/>
          <w:color w:val="192228"/>
          <w:szCs w:val="24"/>
          <w:lang w:eastAsia="da-DK"/>
        </w:rPr>
      </w:pPr>
      <w:r w:rsidRPr="003B0C51">
        <w:rPr>
          <w:rFonts w:ascii="Times New Roman" w:eastAsia="Times New Roman" w:hAnsi="Times New Roman" w:cs="Times New Roman"/>
          <w:color w:val="000000"/>
          <w:szCs w:val="24"/>
          <w:lang w:eastAsia="da-DK"/>
        </w:rPr>
        <w:t>Ved pointlighed mellem flere hunde, uddeles pokalen til den hund, der har flest point i sikkerhed og skulle der ligeledes være pointlighed i denne disciplin, uddeles den til den yngste hund.</w:t>
      </w:r>
      <w:r w:rsidR="00F762C8">
        <w:rPr>
          <w:rFonts w:ascii="Times New Roman" w:eastAsia="Times New Roman" w:hAnsi="Times New Roman" w:cs="Times New Roman"/>
          <w:color w:val="000000"/>
          <w:szCs w:val="24"/>
          <w:lang w:eastAsia="da-DK"/>
        </w:rPr>
        <w:t xml:space="preserve"> </w:t>
      </w:r>
      <w:r w:rsidR="00F762C8">
        <w:rPr>
          <w:rFonts w:ascii="Arial" w:eastAsia="Times New Roman" w:hAnsi="Arial" w:cs="Arial"/>
          <w:color w:val="192228"/>
          <w:sz w:val="24"/>
          <w:szCs w:val="24"/>
          <w:lang w:eastAsia="da-DK"/>
        </w:rPr>
        <w:t> </w:t>
      </w:r>
      <w:r w:rsidR="00F762C8" w:rsidRPr="00F762C8">
        <w:rPr>
          <w:rFonts w:ascii="Times New Roman" w:eastAsia="Times New Roman" w:hAnsi="Times New Roman" w:cs="Times New Roman"/>
          <w:color w:val="000000"/>
          <w:szCs w:val="24"/>
          <w:lang w:eastAsia="da-DK"/>
        </w:rPr>
        <w:t>V</w:t>
      </w:r>
      <w:bookmarkStart w:id="0" w:name="_GoBack"/>
      <w:bookmarkEnd w:id="0"/>
      <w:r w:rsidR="00F762C8" w:rsidRPr="00F762C8">
        <w:rPr>
          <w:rFonts w:ascii="Times New Roman" w:eastAsia="Times New Roman" w:hAnsi="Times New Roman" w:cs="Times New Roman"/>
          <w:color w:val="000000"/>
          <w:szCs w:val="24"/>
          <w:lang w:eastAsia="da-DK"/>
        </w:rPr>
        <w:t xml:space="preserve">andrepræmien vandrer </w:t>
      </w:r>
      <w:r w:rsidR="00F762C8" w:rsidRPr="00F762C8">
        <w:rPr>
          <w:rFonts w:ascii="Times New Roman" w:eastAsia="Times New Roman" w:hAnsi="Times New Roman" w:cs="Times New Roman"/>
          <w:szCs w:val="24"/>
          <w:lang w:eastAsia="da-DK"/>
        </w:rPr>
        <w:t xml:space="preserve">i op </w:t>
      </w:r>
      <w:r w:rsidR="00F762C8" w:rsidRPr="00F762C8">
        <w:rPr>
          <w:rFonts w:ascii="Times New Roman" w:eastAsia="Times New Roman" w:hAnsi="Times New Roman" w:cs="Times New Roman"/>
          <w:color w:val="000000"/>
          <w:szCs w:val="24"/>
          <w:lang w:eastAsia="da-DK"/>
        </w:rPr>
        <w:t xml:space="preserve">til 10 år. Vandrepræmien er vundet til ejendom, </w:t>
      </w:r>
      <w:r w:rsidR="00F762C8" w:rsidRPr="00F762C8">
        <w:rPr>
          <w:rFonts w:ascii="Times New Roman" w:eastAsia="Times New Roman" w:hAnsi="Times New Roman" w:cs="Times New Roman"/>
          <w:szCs w:val="24"/>
          <w:lang w:eastAsia="da-DK"/>
        </w:rPr>
        <w:t xml:space="preserve">så snart </w:t>
      </w:r>
      <w:r w:rsidR="00F762C8" w:rsidRPr="00F762C8">
        <w:rPr>
          <w:rFonts w:ascii="Times New Roman" w:eastAsia="Times New Roman" w:hAnsi="Times New Roman" w:cs="Times New Roman"/>
          <w:color w:val="000000"/>
          <w:szCs w:val="24"/>
          <w:lang w:eastAsia="da-DK"/>
        </w:rPr>
        <w:t>samme ejer har vundet den 3 gange. Er vandrepræmien ikke vundet til ejendom efter 10 år, uddeles den til ejendom til den ejer, hvis hund har opnået flest point på vildtsporprøven. Er der stadig pointlighed, tilfalder vandrepræmien yngste hund (alder på prøvedagen).</w:t>
      </w:r>
    </w:p>
    <w:p w:rsidR="003B0C51" w:rsidRPr="003B0C51" w:rsidRDefault="003B0C51" w:rsidP="003B0C51">
      <w:pPr>
        <w:spacing w:after="0"/>
        <w:rPr>
          <w:rFonts w:ascii="Times New Roman" w:eastAsia="Times New Roman" w:hAnsi="Times New Roman" w:cs="Times New Roman"/>
          <w:color w:val="000000"/>
          <w:szCs w:val="24"/>
          <w:lang w:eastAsia="da-DK"/>
        </w:rPr>
      </w:pPr>
    </w:p>
    <w:p w:rsidR="003B0C51" w:rsidRPr="003B0C51" w:rsidRDefault="003B0C51" w:rsidP="003B0C51">
      <w:pPr>
        <w:spacing w:after="0"/>
        <w:rPr>
          <w:rFonts w:ascii="Times New Roman" w:eastAsia="Times New Roman" w:hAnsi="Times New Roman" w:cs="Times New Roman"/>
          <w:color w:val="192228"/>
          <w:szCs w:val="24"/>
          <w:lang w:eastAsia="da-DK"/>
        </w:rPr>
      </w:pPr>
    </w:p>
    <w:p w:rsidR="003B0C51" w:rsidRPr="003B0C51" w:rsidRDefault="003B0C51" w:rsidP="003B0C51">
      <w:pPr>
        <w:spacing w:after="0"/>
        <w:rPr>
          <w:rFonts w:ascii="Times New Roman" w:eastAsia="Times New Roman" w:hAnsi="Times New Roman" w:cs="Times New Roman"/>
          <w:b/>
          <w:color w:val="192228"/>
          <w:szCs w:val="24"/>
          <w:lang w:eastAsia="da-DK"/>
        </w:rPr>
      </w:pPr>
      <w:r w:rsidRPr="003B0C51">
        <w:rPr>
          <w:rFonts w:ascii="Times New Roman" w:eastAsia="Times New Roman" w:hAnsi="Times New Roman" w:cs="Times New Roman"/>
          <w:b/>
          <w:color w:val="192228"/>
          <w:szCs w:val="24"/>
          <w:lang w:eastAsia="da-DK"/>
        </w:rPr>
        <w:t>Vindere: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6"/>
        <w:gridCol w:w="2036"/>
        <w:gridCol w:w="1143"/>
        <w:gridCol w:w="2429"/>
      </w:tblGrid>
      <w:tr w:rsidR="003B0C51" w:rsidRPr="003B0C51" w:rsidTr="00890ECA">
        <w:tc>
          <w:tcPr>
            <w:tcW w:w="96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Dato</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Reg. nr.</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Hundens navn</w:t>
            </w:r>
          </w:p>
        </w:tc>
        <w:tc>
          <w:tcPr>
            <w:tcW w:w="1143"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 xml:space="preserve">Point </w:t>
            </w:r>
          </w:p>
        </w:tc>
        <w:tc>
          <w:tcPr>
            <w:tcW w:w="242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 xml:space="preserve">Ejer </w:t>
            </w:r>
          </w:p>
        </w:tc>
      </w:tr>
      <w:tr w:rsidR="003B0C51" w:rsidRPr="003B0C51" w:rsidTr="00890ECA">
        <w:tc>
          <w:tcPr>
            <w:tcW w:w="96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24/3-12</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DK12027/2006</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Hesselvang’s Cassandra</w:t>
            </w:r>
          </w:p>
        </w:tc>
        <w:tc>
          <w:tcPr>
            <w:tcW w:w="1143"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Total 75</w:t>
            </w:r>
          </w:p>
        </w:tc>
        <w:tc>
          <w:tcPr>
            <w:tcW w:w="242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Anne Leopold</w:t>
            </w:r>
          </w:p>
        </w:tc>
      </w:tr>
      <w:tr w:rsidR="003B0C51" w:rsidRPr="003B0C51" w:rsidTr="00890ECA">
        <w:tc>
          <w:tcPr>
            <w:tcW w:w="96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27/4-13</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DK22658/2009</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Markvangen’s Baxi</w:t>
            </w:r>
          </w:p>
        </w:tc>
        <w:tc>
          <w:tcPr>
            <w:tcW w:w="1143"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Total 56</w:t>
            </w:r>
          </w:p>
        </w:tc>
        <w:tc>
          <w:tcPr>
            <w:tcW w:w="242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Kim Schmidt</w:t>
            </w:r>
          </w:p>
        </w:tc>
      </w:tr>
      <w:tr w:rsidR="003B0C51" w:rsidRPr="003B0C51" w:rsidTr="00890ECA">
        <w:tc>
          <w:tcPr>
            <w:tcW w:w="96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28/3-15</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S54919/2003</w:t>
            </w:r>
          </w:p>
        </w:tc>
        <w:tc>
          <w:tcPr>
            <w:tcW w:w="2036"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Tueholt A-Milla</w:t>
            </w:r>
          </w:p>
        </w:tc>
        <w:tc>
          <w:tcPr>
            <w:tcW w:w="1143"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Total 74</w:t>
            </w:r>
          </w:p>
        </w:tc>
        <w:tc>
          <w:tcPr>
            <w:tcW w:w="2429" w:type="dxa"/>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 xml:space="preserve">Eva Bermsjö og Kim Norlin </w:t>
            </w:r>
          </w:p>
        </w:tc>
      </w:tr>
      <w:tr w:rsidR="003B0C51" w:rsidRPr="003B0C51" w:rsidTr="00890ECA">
        <w:tc>
          <w:tcPr>
            <w:tcW w:w="969" w:type="dxa"/>
            <w:shd w:val="clear" w:color="auto" w:fill="auto"/>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26/3-16</w:t>
            </w:r>
          </w:p>
        </w:tc>
        <w:tc>
          <w:tcPr>
            <w:tcW w:w="2036" w:type="dxa"/>
          </w:tcPr>
          <w:p w:rsidR="003B0C51" w:rsidRPr="003B0C51" w:rsidRDefault="003B0C51" w:rsidP="00890ECA">
            <w:pPr>
              <w:rPr>
                <w:rFonts w:ascii="Times New Roman" w:hAnsi="Times New Roman" w:cs="Times New Roman"/>
                <w:bCs/>
                <w:sz w:val="20"/>
              </w:rPr>
            </w:pPr>
            <w:r w:rsidRPr="003B0C51">
              <w:rPr>
                <w:rFonts w:ascii="Times New Roman" w:hAnsi="Times New Roman" w:cs="Times New Roman"/>
                <w:bCs/>
                <w:sz w:val="20"/>
              </w:rPr>
              <w:t>DK02771/2014</w:t>
            </w:r>
          </w:p>
        </w:tc>
        <w:tc>
          <w:tcPr>
            <w:tcW w:w="2036" w:type="dxa"/>
            <w:shd w:val="clear" w:color="auto" w:fill="auto"/>
          </w:tcPr>
          <w:p w:rsidR="003B0C51" w:rsidRPr="003B0C51" w:rsidRDefault="003B0C51" w:rsidP="00890ECA">
            <w:pPr>
              <w:rPr>
                <w:rFonts w:ascii="Times New Roman" w:hAnsi="Times New Roman" w:cs="Times New Roman"/>
                <w:sz w:val="20"/>
              </w:rPr>
            </w:pPr>
            <w:r w:rsidRPr="003B0C51">
              <w:rPr>
                <w:rFonts w:ascii="Times New Roman" w:hAnsi="Times New Roman" w:cs="Times New Roman"/>
                <w:bCs/>
                <w:sz w:val="20"/>
              </w:rPr>
              <w:t>Berknovs Gaia</w:t>
            </w:r>
          </w:p>
        </w:tc>
        <w:tc>
          <w:tcPr>
            <w:tcW w:w="1143" w:type="dxa"/>
            <w:shd w:val="clear" w:color="auto" w:fill="auto"/>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Total 63</w:t>
            </w:r>
          </w:p>
        </w:tc>
        <w:tc>
          <w:tcPr>
            <w:tcW w:w="2429" w:type="dxa"/>
            <w:shd w:val="clear" w:color="auto" w:fill="auto"/>
          </w:tcPr>
          <w:p w:rsidR="003B0C51" w:rsidRPr="003B0C51" w:rsidRDefault="003B0C51" w:rsidP="00890ECA">
            <w:pPr>
              <w:rPr>
                <w:rFonts w:ascii="Times New Roman" w:hAnsi="Times New Roman" w:cs="Times New Roman"/>
                <w:sz w:val="20"/>
              </w:rPr>
            </w:pPr>
            <w:r w:rsidRPr="003B0C51">
              <w:rPr>
                <w:rFonts w:ascii="Times New Roman" w:hAnsi="Times New Roman" w:cs="Times New Roman"/>
                <w:sz w:val="20"/>
              </w:rPr>
              <w:t>Ann Laura Luunbjerg</w:t>
            </w:r>
          </w:p>
        </w:tc>
      </w:tr>
      <w:tr w:rsidR="00536DAD" w:rsidRPr="003B0C51" w:rsidTr="00890ECA">
        <w:tc>
          <w:tcPr>
            <w:tcW w:w="969" w:type="dxa"/>
            <w:shd w:val="clear" w:color="auto" w:fill="auto"/>
          </w:tcPr>
          <w:p w:rsidR="00536DAD" w:rsidRPr="003B0C51" w:rsidRDefault="00536DAD" w:rsidP="00890ECA">
            <w:pPr>
              <w:rPr>
                <w:rFonts w:ascii="Times New Roman" w:hAnsi="Times New Roman" w:cs="Times New Roman"/>
                <w:sz w:val="20"/>
              </w:rPr>
            </w:pPr>
            <w:r>
              <w:rPr>
                <w:rFonts w:ascii="Times New Roman" w:hAnsi="Times New Roman" w:cs="Times New Roman"/>
                <w:sz w:val="20"/>
              </w:rPr>
              <w:t>24/3-18</w:t>
            </w:r>
          </w:p>
        </w:tc>
        <w:tc>
          <w:tcPr>
            <w:tcW w:w="2036" w:type="dxa"/>
          </w:tcPr>
          <w:p w:rsidR="00536DAD" w:rsidRPr="003B0C51" w:rsidRDefault="00536DAD" w:rsidP="00890ECA">
            <w:pPr>
              <w:rPr>
                <w:rFonts w:ascii="Times New Roman" w:hAnsi="Times New Roman" w:cs="Times New Roman"/>
                <w:bCs/>
                <w:sz w:val="20"/>
              </w:rPr>
            </w:pPr>
            <w:r>
              <w:rPr>
                <w:rFonts w:ascii="Times New Roman" w:hAnsi="Times New Roman" w:cs="Times New Roman"/>
                <w:bCs/>
                <w:sz w:val="20"/>
              </w:rPr>
              <w:t>DK11392/2014</w:t>
            </w:r>
          </w:p>
        </w:tc>
        <w:tc>
          <w:tcPr>
            <w:tcW w:w="2036" w:type="dxa"/>
            <w:shd w:val="clear" w:color="auto" w:fill="auto"/>
          </w:tcPr>
          <w:p w:rsidR="00536DAD" w:rsidRPr="003B0C51" w:rsidRDefault="00536DAD" w:rsidP="00890ECA">
            <w:pPr>
              <w:rPr>
                <w:rFonts w:ascii="Times New Roman" w:hAnsi="Times New Roman" w:cs="Times New Roman"/>
                <w:bCs/>
                <w:sz w:val="20"/>
              </w:rPr>
            </w:pPr>
            <w:r>
              <w:rPr>
                <w:rFonts w:ascii="Times New Roman" w:hAnsi="Times New Roman" w:cs="Times New Roman"/>
                <w:bCs/>
                <w:sz w:val="20"/>
              </w:rPr>
              <w:t>Lykkebjerg’s Jeppe</w:t>
            </w:r>
          </w:p>
        </w:tc>
        <w:tc>
          <w:tcPr>
            <w:tcW w:w="1143" w:type="dxa"/>
            <w:shd w:val="clear" w:color="auto" w:fill="auto"/>
          </w:tcPr>
          <w:p w:rsidR="00536DAD" w:rsidRPr="003B0C51" w:rsidRDefault="00536DAD" w:rsidP="00890ECA">
            <w:pPr>
              <w:rPr>
                <w:rFonts w:ascii="Times New Roman" w:hAnsi="Times New Roman" w:cs="Times New Roman"/>
                <w:sz w:val="20"/>
              </w:rPr>
            </w:pPr>
            <w:r>
              <w:rPr>
                <w:rFonts w:ascii="Times New Roman" w:hAnsi="Times New Roman" w:cs="Times New Roman"/>
                <w:sz w:val="20"/>
              </w:rPr>
              <w:t>Total 68</w:t>
            </w:r>
          </w:p>
        </w:tc>
        <w:tc>
          <w:tcPr>
            <w:tcW w:w="2429" w:type="dxa"/>
            <w:shd w:val="clear" w:color="auto" w:fill="auto"/>
          </w:tcPr>
          <w:p w:rsidR="00536DAD" w:rsidRPr="003B0C51" w:rsidRDefault="00536DAD" w:rsidP="00890ECA">
            <w:pPr>
              <w:rPr>
                <w:rFonts w:ascii="Times New Roman" w:hAnsi="Times New Roman" w:cs="Times New Roman"/>
                <w:sz w:val="20"/>
              </w:rPr>
            </w:pPr>
            <w:r>
              <w:rPr>
                <w:rFonts w:ascii="Times New Roman" w:hAnsi="Times New Roman" w:cs="Times New Roman"/>
                <w:sz w:val="20"/>
              </w:rPr>
              <w:t>Tinna Hylager Jensen</w:t>
            </w:r>
          </w:p>
        </w:tc>
      </w:tr>
    </w:tbl>
    <w:p w:rsidR="003B0C51" w:rsidRPr="003B0C51" w:rsidRDefault="003B0C51" w:rsidP="003B0C51">
      <w:pPr>
        <w:spacing w:after="0"/>
        <w:rPr>
          <w:rFonts w:ascii="Times New Roman" w:eastAsia="Times New Roman" w:hAnsi="Times New Roman" w:cs="Times New Roman"/>
          <w:b/>
          <w:color w:val="192228"/>
          <w:szCs w:val="24"/>
          <w:lang w:eastAsia="da-DK"/>
        </w:rPr>
      </w:pPr>
    </w:p>
    <w:sectPr w:rsidR="003B0C51" w:rsidRPr="003B0C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0"/>
    <w:rsid w:val="001C1734"/>
    <w:rsid w:val="00305B70"/>
    <w:rsid w:val="003B0C51"/>
    <w:rsid w:val="00536DAD"/>
    <w:rsid w:val="00635AD7"/>
    <w:rsid w:val="00B05ED9"/>
    <w:rsid w:val="00C12E2E"/>
    <w:rsid w:val="00DE0FB0"/>
    <w:rsid w:val="00F25D32"/>
    <w:rsid w:val="00F41242"/>
    <w:rsid w:val="00F762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1E8B"/>
  <w15:chartTrackingRefBased/>
  <w15:docId w15:val="{B1392A7C-6126-43D6-8B7D-F6DA9757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999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Sørensen</dc:creator>
  <cp:keywords/>
  <dc:description/>
  <cp:lastModifiedBy>Helle Sørensen</cp:lastModifiedBy>
  <cp:revision>4</cp:revision>
  <dcterms:created xsi:type="dcterms:W3CDTF">2018-04-01T23:17:00Z</dcterms:created>
  <dcterms:modified xsi:type="dcterms:W3CDTF">2018-04-05T15:20:00Z</dcterms:modified>
</cp:coreProperties>
</file>